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707C" w14:textId="77777777" w:rsidR="00907F86" w:rsidRDefault="00907F86" w:rsidP="00507836">
      <w:pPr>
        <w:spacing w:after="0" w:line="240" w:lineRule="auto"/>
        <w:jc w:val="center"/>
        <w:rPr>
          <w:rFonts w:cstheme="minorHAnsi"/>
          <w:b/>
          <w:sz w:val="32"/>
          <w:szCs w:val="20"/>
        </w:rPr>
      </w:pPr>
    </w:p>
    <w:p w14:paraId="4B15F97F" w14:textId="77777777" w:rsidR="003C5A95" w:rsidRPr="00770AAC" w:rsidRDefault="00507836" w:rsidP="005A1CE3">
      <w:pPr>
        <w:spacing w:after="0" w:line="240" w:lineRule="auto"/>
        <w:jc w:val="center"/>
        <w:rPr>
          <w:rFonts w:ascii="Times New Roman" w:hAnsi="Times New Roman" w:cs="Times New Roman"/>
          <w:b/>
          <w:sz w:val="24"/>
          <w:szCs w:val="24"/>
        </w:rPr>
      </w:pPr>
      <w:r w:rsidRPr="00770AAC">
        <w:rPr>
          <w:rFonts w:ascii="Times New Roman" w:hAnsi="Times New Roman" w:cs="Times New Roman"/>
          <w:b/>
          <w:sz w:val="24"/>
          <w:szCs w:val="24"/>
        </w:rPr>
        <w:t>IACC</w:t>
      </w:r>
      <w:r w:rsidR="000A62E8" w:rsidRPr="00770AAC">
        <w:rPr>
          <w:rFonts w:ascii="Times New Roman" w:hAnsi="Times New Roman" w:cs="Times New Roman"/>
          <w:b/>
          <w:sz w:val="24"/>
          <w:szCs w:val="24"/>
        </w:rPr>
        <w:t xml:space="preserve"> 2023</w:t>
      </w:r>
      <w:r w:rsidR="00E34A4D" w:rsidRPr="00770AAC">
        <w:rPr>
          <w:rFonts w:ascii="Times New Roman" w:hAnsi="Times New Roman" w:cs="Times New Roman"/>
          <w:b/>
          <w:sz w:val="24"/>
          <w:szCs w:val="24"/>
        </w:rPr>
        <w:t xml:space="preserve"> </w:t>
      </w:r>
      <w:r w:rsidR="004B7133" w:rsidRPr="00770AAC">
        <w:rPr>
          <w:rFonts w:ascii="Times New Roman" w:hAnsi="Times New Roman" w:cs="Times New Roman"/>
          <w:b/>
          <w:sz w:val="24"/>
          <w:szCs w:val="24"/>
        </w:rPr>
        <w:t xml:space="preserve">DRAFT </w:t>
      </w:r>
      <w:r w:rsidR="009547C1" w:rsidRPr="00770AAC">
        <w:rPr>
          <w:rFonts w:ascii="Times New Roman" w:hAnsi="Times New Roman" w:cs="Times New Roman"/>
          <w:b/>
          <w:sz w:val="24"/>
          <w:szCs w:val="24"/>
        </w:rPr>
        <w:t xml:space="preserve">LEGISLATIVE </w:t>
      </w:r>
      <w:r w:rsidR="004B7133" w:rsidRPr="00770AAC">
        <w:rPr>
          <w:rFonts w:ascii="Times New Roman" w:hAnsi="Times New Roman" w:cs="Times New Roman"/>
          <w:b/>
          <w:sz w:val="24"/>
          <w:szCs w:val="24"/>
        </w:rPr>
        <w:t>TOPICS</w:t>
      </w:r>
    </w:p>
    <w:p w14:paraId="25115CAC" w14:textId="77777777" w:rsidR="005A1CE3" w:rsidRPr="00770AAC" w:rsidRDefault="005A1CE3" w:rsidP="005A1CE3">
      <w:pPr>
        <w:pStyle w:val="ListParagraph"/>
        <w:jc w:val="both"/>
        <w:rPr>
          <w:rFonts w:ascii="Times New Roman" w:hAnsi="Times New Roman" w:cs="Times New Roman"/>
          <w:sz w:val="24"/>
          <w:szCs w:val="24"/>
        </w:rPr>
      </w:pPr>
    </w:p>
    <w:p w14:paraId="261CFCAA" w14:textId="07DA968D" w:rsidR="000A62E8" w:rsidRPr="00770AAC" w:rsidRDefault="000A62E8"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 xml:space="preserve">IACC supports the Governor’s State Public Health Commission and the </w:t>
      </w:r>
      <w:proofErr w:type="gramStart"/>
      <w:r w:rsidRPr="00770AAC">
        <w:rPr>
          <w:rFonts w:ascii="Times New Roman" w:hAnsi="Times New Roman" w:cs="Times New Roman"/>
          <w:sz w:val="24"/>
          <w:szCs w:val="24"/>
        </w:rPr>
        <w:t>ultimate goal</w:t>
      </w:r>
      <w:proofErr w:type="gramEnd"/>
      <w:r w:rsidRPr="00770AAC">
        <w:rPr>
          <w:rFonts w:ascii="Times New Roman" w:hAnsi="Times New Roman" w:cs="Times New Roman"/>
          <w:sz w:val="24"/>
          <w:szCs w:val="24"/>
        </w:rPr>
        <w:t xml:space="preserve"> of improving the state’s overall health and </w:t>
      </w:r>
      <w:r w:rsidR="00E96F06" w:rsidRPr="00770AAC">
        <w:rPr>
          <w:rFonts w:ascii="Times New Roman" w:hAnsi="Times New Roman" w:cs="Times New Roman"/>
          <w:sz w:val="24"/>
          <w:szCs w:val="24"/>
        </w:rPr>
        <w:t>health outcomes. IACC supports the use of data to modernize public health services, and furthermore, IACC supports the state’s financial support of this effort.</w:t>
      </w:r>
      <w:r w:rsidR="00FA26E9" w:rsidRPr="00770AAC">
        <w:rPr>
          <w:rFonts w:ascii="Times New Roman" w:hAnsi="Times New Roman" w:cs="Times New Roman"/>
          <w:sz w:val="24"/>
          <w:szCs w:val="24"/>
        </w:rPr>
        <w:t xml:space="preserve"> </w:t>
      </w:r>
      <w:r w:rsidR="004D7197" w:rsidRPr="00770AAC">
        <w:rPr>
          <w:rFonts w:ascii="Times New Roman" w:hAnsi="Times New Roman" w:cs="Times New Roman"/>
          <w:sz w:val="24"/>
          <w:szCs w:val="24"/>
        </w:rPr>
        <w:t xml:space="preserve">However, IACC </w:t>
      </w:r>
      <w:r w:rsidR="0029452A" w:rsidRPr="00770AAC">
        <w:rPr>
          <w:rFonts w:ascii="Times New Roman" w:hAnsi="Times New Roman" w:cs="Times New Roman"/>
          <w:sz w:val="24"/>
          <w:szCs w:val="24"/>
        </w:rPr>
        <w:t xml:space="preserve">supports an opt-out mechanism for </w:t>
      </w:r>
      <w:r w:rsidR="007F77F0" w:rsidRPr="00770AAC">
        <w:rPr>
          <w:rFonts w:ascii="Times New Roman" w:hAnsi="Times New Roman" w:cs="Times New Roman"/>
          <w:sz w:val="24"/>
          <w:szCs w:val="24"/>
        </w:rPr>
        <w:t>the commissioners</w:t>
      </w:r>
      <w:r w:rsidR="0029452A" w:rsidRPr="00770AAC">
        <w:rPr>
          <w:rFonts w:ascii="Times New Roman" w:hAnsi="Times New Roman" w:cs="Times New Roman"/>
          <w:sz w:val="24"/>
          <w:szCs w:val="24"/>
        </w:rPr>
        <w:t xml:space="preserve"> that do not want to participate in any </w:t>
      </w:r>
      <w:r w:rsidR="007F77F0" w:rsidRPr="00770AAC">
        <w:rPr>
          <w:rFonts w:ascii="Times New Roman" w:hAnsi="Times New Roman" w:cs="Times New Roman"/>
          <w:sz w:val="24"/>
          <w:szCs w:val="24"/>
        </w:rPr>
        <w:t xml:space="preserve">or all </w:t>
      </w:r>
      <w:r w:rsidR="0029452A" w:rsidRPr="00770AAC">
        <w:rPr>
          <w:rFonts w:ascii="Times New Roman" w:hAnsi="Times New Roman" w:cs="Times New Roman"/>
          <w:sz w:val="24"/>
          <w:szCs w:val="24"/>
        </w:rPr>
        <w:t>programs established by the commission</w:t>
      </w:r>
      <w:r w:rsidR="007F77F0" w:rsidRPr="00770AAC">
        <w:rPr>
          <w:rFonts w:ascii="Times New Roman" w:hAnsi="Times New Roman" w:cs="Times New Roman"/>
          <w:sz w:val="24"/>
          <w:szCs w:val="24"/>
        </w:rPr>
        <w:t>,</w:t>
      </w:r>
      <w:r w:rsidR="0029452A" w:rsidRPr="00770AAC">
        <w:rPr>
          <w:rFonts w:ascii="Times New Roman" w:hAnsi="Times New Roman" w:cs="Times New Roman"/>
          <w:sz w:val="24"/>
          <w:szCs w:val="24"/>
        </w:rPr>
        <w:t xml:space="preserve"> without loss of current funding level.</w:t>
      </w:r>
    </w:p>
    <w:p w14:paraId="4115D8DB" w14:textId="77777777" w:rsidR="003A4286" w:rsidRPr="00770AAC" w:rsidRDefault="003A4286" w:rsidP="003A4286">
      <w:pPr>
        <w:pStyle w:val="ListParagraph"/>
        <w:jc w:val="both"/>
        <w:rPr>
          <w:rFonts w:ascii="Times New Roman" w:hAnsi="Times New Roman" w:cs="Times New Roman"/>
          <w:sz w:val="24"/>
          <w:szCs w:val="24"/>
        </w:rPr>
      </w:pPr>
    </w:p>
    <w:p w14:paraId="7E2D0DE4" w14:textId="36911C9C" w:rsidR="003A4286" w:rsidRPr="00770AAC" w:rsidRDefault="003A4286" w:rsidP="003A4286">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the development and implementation of mental health and addiction plans by community mental health centers, including the transparent use of funds and collaboration with county officials concerning how those funds are spent within the county.</w:t>
      </w:r>
      <w:r w:rsidR="00C07069" w:rsidRPr="00770AAC">
        <w:rPr>
          <w:rFonts w:ascii="Times New Roman" w:hAnsi="Times New Roman" w:cs="Times New Roman"/>
          <w:sz w:val="24"/>
          <w:szCs w:val="24"/>
        </w:rPr>
        <w:t xml:space="preserve"> If a plan is not presented and accepted by the </w:t>
      </w:r>
      <w:r w:rsidR="000A6565" w:rsidRPr="00770AAC">
        <w:rPr>
          <w:rFonts w:ascii="Times New Roman" w:hAnsi="Times New Roman" w:cs="Times New Roman"/>
          <w:sz w:val="24"/>
          <w:szCs w:val="24"/>
        </w:rPr>
        <w:t xml:space="preserve">local county </w:t>
      </w:r>
      <w:r w:rsidR="00C07069" w:rsidRPr="00770AAC">
        <w:rPr>
          <w:rFonts w:ascii="Times New Roman" w:hAnsi="Times New Roman" w:cs="Times New Roman"/>
          <w:sz w:val="24"/>
          <w:szCs w:val="24"/>
        </w:rPr>
        <w:t>commissioners, funding for the county’s CMHC can be allocated to other mental health services.</w:t>
      </w:r>
    </w:p>
    <w:p w14:paraId="217AD6D8" w14:textId="77777777" w:rsidR="00E96F06" w:rsidRPr="00770AAC" w:rsidRDefault="00E96F06" w:rsidP="00E96F06">
      <w:pPr>
        <w:pStyle w:val="ListParagraph"/>
        <w:jc w:val="both"/>
        <w:rPr>
          <w:rFonts w:ascii="Times New Roman" w:hAnsi="Times New Roman" w:cs="Times New Roman"/>
          <w:sz w:val="24"/>
          <w:szCs w:val="24"/>
        </w:rPr>
      </w:pPr>
    </w:p>
    <w:p w14:paraId="0090EF6B" w14:textId="77777777" w:rsidR="003A4286" w:rsidRPr="00770AAC" w:rsidRDefault="003A4286"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a mechanism to allow commissioners to receive information and discuss issues facing the county in administrative sessions. This does not include any final action or vote, but a mechanism would provide the opportunity for open discussion on topics of interest.</w:t>
      </w:r>
    </w:p>
    <w:p w14:paraId="533D9245" w14:textId="77777777" w:rsidR="003A4286" w:rsidRPr="00770AAC" w:rsidRDefault="003A4286" w:rsidP="003A4286">
      <w:pPr>
        <w:pStyle w:val="ListParagraph"/>
        <w:rPr>
          <w:rFonts w:ascii="Times New Roman" w:hAnsi="Times New Roman" w:cs="Times New Roman"/>
          <w:sz w:val="24"/>
          <w:szCs w:val="24"/>
        </w:rPr>
      </w:pPr>
    </w:p>
    <w:p w14:paraId="211FFBF4" w14:textId="4303D26D" w:rsidR="009E0104" w:rsidRPr="00770AAC" w:rsidRDefault="009E0104" w:rsidP="0081620A">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 xml:space="preserve">IACC supports responsible review and examination of current tax structures and tax policy. IACC does not support, however, the elimination of the 30% floor of the Business Personal Property Tax without a statutorily enumerated source of replace revenue, equaling or exceeding previous BPPT revenue. Any elimination of the BPPT floor without a direct replacement </w:t>
      </w:r>
      <w:r w:rsidR="0081620A" w:rsidRPr="00770AAC">
        <w:rPr>
          <w:rFonts w:ascii="Times New Roman" w:hAnsi="Times New Roman" w:cs="Times New Roman"/>
          <w:sz w:val="24"/>
          <w:szCs w:val="24"/>
        </w:rPr>
        <w:t xml:space="preserve">of dollars and economic development benefits </w:t>
      </w:r>
      <w:r w:rsidRPr="00770AAC">
        <w:rPr>
          <w:rFonts w:ascii="Times New Roman" w:hAnsi="Times New Roman" w:cs="Times New Roman"/>
          <w:sz w:val="24"/>
          <w:szCs w:val="24"/>
        </w:rPr>
        <w:t>would irreparably harm all Hoosier taxpayers and local governments.</w:t>
      </w:r>
      <w:r w:rsidR="00E96F06" w:rsidRPr="00770AAC">
        <w:rPr>
          <w:rFonts w:ascii="Times New Roman" w:hAnsi="Times New Roman" w:cs="Times New Roman"/>
          <w:sz w:val="24"/>
          <w:szCs w:val="24"/>
        </w:rPr>
        <w:t xml:space="preserve"> </w:t>
      </w:r>
    </w:p>
    <w:p w14:paraId="15149A38" w14:textId="77777777" w:rsidR="00770AAC" w:rsidRDefault="00770AAC" w:rsidP="00770AAC">
      <w:pPr>
        <w:pStyle w:val="ListParagraph"/>
        <w:jc w:val="both"/>
        <w:rPr>
          <w:rFonts w:ascii="Times New Roman" w:hAnsi="Times New Roman" w:cs="Times New Roman"/>
          <w:sz w:val="24"/>
          <w:szCs w:val="24"/>
        </w:rPr>
      </w:pPr>
    </w:p>
    <w:p w14:paraId="63119488" w14:textId="34329F43" w:rsidR="00C4789D" w:rsidRPr="00770AAC" w:rsidRDefault="00C4789D" w:rsidP="00C4789D">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reasonable audit procedures and oversight by the State Board of Accounts; however, IACC would like to implement a cost ceiling for SBOA audits or the ability of local units of government to pursue audits within the open market.</w:t>
      </w:r>
    </w:p>
    <w:p w14:paraId="347C1DE4" w14:textId="77777777" w:rsidR="00C4789D" w:rsidRPr="00770AAC" w:rsidRDefault="00C4789D" w:rsidP="00C4789D">
      <w:pPr>
        <w:jc w:val="both"/>
        <w:rPr>
          <w:rFonts w:ascii="Times New Roman" w:hAnsi="Times New Roman" w:cs="Times New Roman"/>
          <w:sz w:val="24"/>
          <w:szCs w:val="24"/>
        </w:rPr>
      </w:pPr>
    </w:p>
    <w:p w14:paraId="189390AB" w14:textId="77777777" w:rsidR="00391594" w:rsidRPr="00770AAC" w:rsidRDefault="0043283D" w:rsidP="00C4789D">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county government control over rights-of-way, including the ability to generate fees from utilities for the use of local easements. This also includes a county’s ability to implement punitive measures for utilities who remain unresponsive to requests to move lines during construction or transportation projects.</w:t>
      </w:r>
    </w:p>
    <w:p w14:paraId="639A2020" w14:textId="77777777" w:rsidR="00391594" w:rsidRPr="00770AAC" w:rsidRDefault="00391594" w:rsidP="005A1CE3">
      <w:pPr>
        <w:pStyle w:val="ListParagraph"/>
        <w:jc w:val="both"/>
        <w:rPr>
          <w:rFonts w:ascii="Times New Roman" w:hAnsi="Times New Roman" w:cs="Times New Roman"/>
          <w:sz w:val="24"/>
          <w:szCs w:val="24"/>
        </w:rPr>
      </w:pPr>
    </w:p>
    <w:p w14:paraId="2ACF4AEF" w14:textId="607C283D" w:rsidR="00391594" w:rsidRPr="00770AAC" w:rsidRDefault="00391594"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the defense Home Rule including, but not limited to, retaining the authority at the local level to control the development of land (zoning ordinances), adamantly oppose the pre-emption of local land use controls (</w:t>
      </w:r>
      <w:proofErr w:type="gramStart"/>
      <w:r w:rsidRPr="00770AAC">
        <w:rPr>
          <w:rFonts w:ascii="Times New Roman" w:hAnsi="Times New Roman" w:cs="Times New Roman"/>
          <w:sz w:val="24"/>
          <w:szCs w:val="24"/>
        </w:rPr>
        <w:t>i.e.</w:t>
      </w:r>
      <w:proofErr w:type="gramEnd"/>
      <w:r w:rsidRPr="00770AAC">
        <w:rPr>
          <w:rFonts w:ascii="Times New Roman" w:hAnsi="Times New Roman" w:cs="Times New Roman"/>
          <w:sz w:val="24"/>
          <w:szCs w:val="24"/>
        </w:rPr>
        <w:t xml:space="preserve"> short term rentals, mining, agricultural operations, utility installations, energy generation, </w:t>
      </w:r>
      <w:r w:rsidR="00BF64DF" w:rsidRPr="00770AAC">
        <w:rPr>
          <w:rFonts w:ascii="Times New Roman" w:hAnsi="Times New Roman" w:cs="Times New Roman"/>
          <w:sz w:val="24"/>
          <w:szCs w:val="24"/>
        </w:rPr>
        <w:t xml:space="preserve">public health, </w:t>
      </w:r>
      <w:r w:rsidRPr="00770AAC">
        <w:rPr>
          <w:rFonts w:ascii="Times New Roman" w:hAnsi="Times New Roman" w:cs="Times New Roman"/>
          <w:sz w:val="24"/>
          <w:szCs w:val="24"/>
        </w:rPr>
        <w:t>and multi-power sources) and monitor for erosion of local license and permitting fees and powers.</w:t>
      </w:r>
    </w:p>
    <w:p w14:paraId="6D7A8E76" w14:textId="77777777" w:rsidR="00391594" w:rsidRPr="00770AAC" w:rsidRDefault="00391594" w:rsidP="005A1CE3">
      <w:pPr>
        <w:pStyle w:val="ListParagraph"/>
        <w:jc w:val="both"/>
        <w:rPr>
          <w:rFonts w:ascii="Times New Roman" w:hAnsi="Times New Roman" w:cs="Times New Roman"/>
          <w:sz w:val="24"/>
          <w:szCs w:val="24"/>
        </w:rPr>
      </w:pPr>
    </w:p>
    <w:p w14:paraId="11B82454" w14:textId="2C6569C1" w:rsidR="00391594" w:rsidRPr="00770AAC" w:rsidRDefault="00391594"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 xml:space="preserve">IACC supports a statutory mechanism to remove commissioner-appointed board members (who fail to meet </w:t>
      </w:r>
      <w:r w:rsidR="00BF64DF" w:rsidRPr="00770AAC">
        <w:rPr>
          <w:rFonts w:ascii="Times New Roman" w:hAnsi="Times New Roman" w:cs="Times New Roman"/>
          <w:sz w:val="24"/>
          <w:szCs w:val="24"/>
        </w:rPr>
        <w:t>attendance</w:t>
      </w:r>
      <w:r w:rsidRPr="00770AAC">
        <w:rPr>
          <w:rFonts w:ascii="Times New Roman" w:hAnsi="Times New Roman" w:cs="Times New Roman"/>
          <w:sz w:val="24"/>
          <w:szCs w:val="24"/>
        </w:rPr>
        <w:t xml:space="preserve"> obligatio</w:t>
      </w:r>
      <w:r w:rsidR="007D287B" w:rsidRPr="00770AAC">
        <w:rPr>
          <w:rFonts w:ascii="Times New Roman" w:hAnsi="Times New Roman" w:cs="Times New Roman"/>
          <w:sz w:val="24"/>
          <w:szCs w:val="24"/>
        </w:rPr>
        <w:t>ns</w:t>
      </w:r>
      <w:r w:rsidR="00F13484" w:rsidRPr="00770AAC">
        <w:rPr>
          <w:rFonts w:ascii="Times New Roman" w:hAnsi="Times New Roman" w:cs="Times New Roman"/>
          <w:sz w:val="24"/>
          <w:szCs w:val="24"/>
        </w:rPr>
        <w:t xml:space="preserve"> or are insubordinate</w:t>
      </w:r>
      <w:r w:rsidR="007D287B" w:rsidRPr="00770AAC">
        <w:rPr>
          <w:rFonts w:ascii="Times New Roman" w:hAnsi="Times New Roman" w:cs="Times New Roman"/>
          <w:sz w:val="24"/>
          <w:szCs w:val="24"/>
        </w:rPr>
        <w:t>) mid-</w:t>
      </w:r>
      <w:proofErr w:type="gramStart"/>
      <w:r w:rsidR="007D287B" w:rsidRPr="00770AAC">
        <w:rPr>
          <w:rFonts w:ascii="Times New Roman" w:hAnsi="Times New Roman" w:cs="Times New Roman"/>
          <w:sz w:val="24"/>
          <w:szCs w:val="24"/>
        </w:rPr>
        <w:t>appointment</w:t>
      </w:r>
      <w:proofErr w:type="gramEnd"/>
      <w:r w:rsidR="007D287B" w:rsidRPr="00770AAC">
        <w:rPr>
          <w:rFonts w:ascii="Times New Roman" w:hAnsi="Times New Roman" w:cs="Times New Roman"/>
          <w:sz w:val="24"/>
          <w:szCs w:val="24"/>
        </w:rPr>
        <w:t>.</w:t>
      </w:r>
    </w:p>
    <w:p w14:paraId="60566DE0" w14:textId="77777777" w:rsidR="00391594" w:rsidRPr="00770AAC" w:rsidRDefault="00391594" w:rsidP="005A1CE3">
      <w:pPr>
        <w:pStyle w:val="ListParagraph"/>
        <w:jc w:val="both"/>
        <w:rPr>
          <w:rFonts w:ascii="Times New Roman" w:hAnsi="Times New Roman" w:cs="Times New Roman"/>
          <w:sz w:val="24"/>
          <w:szCs w:val="24"/>
        </w:rPr>
      </w:pPr>
    </w:p>
    <w:p w14:paraId="6EC20F87" w14:textId="39066DE2" w:rsidR="00FF2A46" w:rsidRPr="00770AAC" w:rsidRDefault="00391594"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the continued discussion and evaluation of solutions concerning jail over crowdedness. Furthermore, the IACC further supports the increase of money dedicated to the Level 6 f</w:t>
      </w:r>
      <w:r w:rsidR="00C4789D" w:rsidRPr="00770AAC">
        <w:rPr>
          <w:rFonts w:ascii="Times New Roman" w:hAnsi="Times New Roman" w:cs="Times New Roman"/>
          <w:sz w:val="24"/>
          <w:szCs w:val="24"/>
        </w:rPr>
        <w:t>elon reimbursement fund.</w:t>
      </w:r>
    </w:p>
    <w:p w14:paraId="25DA9020" w14:textId="77777777" w:rsidR="00FF2A46" w:rsidRPr="00770AAC" w:rsidRDefault="00FF2A46" w:rsidP="005A1CE3">
      <w:pPr>
        <w:pStyle w:val="ListParagraph"/>
        <w:jc w:val="both"/>
        <w:rPr>
          <w:rFonts w:ascii="Times New Roman" w:hAnsi="Times New Roman" w:cs="Times New Roman"/>
          <w:sz w:val="24"/>
          <w:szCs w:val="24"/>
        </w:rPr>
      </w:pPr>
    </w:p>
    <w:p w14:paraId="4CD7EC9F" w14:textId="77777777" w:rsidR="005A3AD9" w:rsidRPr="00770AAC" w:rsidRDefault="00FF2A46"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the immediate review and assessment of cyber security threats to local government. IACC further supports the creation of a state program (CTAP) to assist with cyber security threats, including ransomware, in the future.</w:t>
      </w:r>
    </w:p>
    <w:p w14:paraId="129D772A" w14:textId="77777777" w:rsidR="005A3AD9" w:rsidRPr="00770AAC" w:rsidRDefault="005A3AD9" w:rsidP="005A1CE3">
      <w:pPr>
        <w:pStyle w:val="ListParagraph"/>
        <w:jc w:val="both"/>
        <w:rPr>
          <w:rFonts w:ascii="Times New Roman" w:hAnsi="Times New Roman" w:cs="Times New Roman"/>
          <w:sz w:val="24"/>
          <w:szCs w:val="24"/>
        </w:rPr>
      </w:pPr>
    </w:p>
    <w:p w14:paraId="3DF15336" w14:textId="77777777" w:rsidR="005A3AD9" w:rsidRPr="00770AAC" w:rsidRDefault="005A3AD9"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 xml:space="preserve">IACC supports the examination of </w:t>
      </w:r>
      <w:r w:rsidR="008C726A" w:rsidRPr="00770AAC">
        <w:rPr>
          <w:rFonts w:ascii="Times New Roman" w:hAnsi="Times New Roman" w:cs="Times New Roman"/>
          <w:sz w:val="24"/>
          <w:szCs w:val="24"/>
        </w:rPr>
        <w:t>notice of public meetings and</w:t>
      </w:r>
      <w:r w:rsidR="008C726A" w:rsidRPr="00770AAC">
        <w:rPr>
          <w:rFonts w:ascii="Times New Roman" w:hAnsi="Times New Roman" w:cs="Times New Roman"/>
          <w:color w:val="FF0000"/>
          <w:sz w:val="24"/>
          <w:szCs w:val="24"/>
        </w:rPr>
        <w:t xml:space="preserve"> </w:t>
      </w:r>
      <w:r w:rsidRPr="00770AAC">
        <w:rPr>
          <w:rFonts w:ascii="Times New Roman" w:hAnsi="Times New Roman" w:cs="Times New Roman"/>
          <w:sz w:val="24"/>
          <w:szCs w:val="24"/>
        </w:rPr>
        <w:t xml:space="preserve">public participation in government meetings and the possibility of permanent changes to the Open Door Law and the Access to Public Records Act concerning virtual participation by public officials. </w:t>
      </w:r>
      <w:r w:rsidR="008C726A" w:rsidRPr="00770AAC">
        <w:rPr>
          <w:rFonts w:ascii="Times New Roman" w:hAnsi="Times New Roman" w:cs="Times New Roman"/>
          <w:sz w:val="24"/>
          <w:szCs w:val="24"/>
        </w:rPr>
        <w:t xml:space="preserve">The ability to notice meetings via traditional newspaper advertisements </w:t>
      </w:r>
      <w:proofErr w:type="gramStart"/>
      <w:r w:rsidR="008C726A" w:rsidRPr="00770AAC">
        <w:rPr>
          <w:rFonts w:ascii="Times New Roman" w:hAnsi="Times New Roman" w:cs="Times New Roman"/>
          <w:sz w:val="24"/>
          <w:szCs w:val="24"/>
        </w:rPr>
        <w:t>continue</w:t>
      </w:r>
      <w:proofErr w:type="gramEnd"/>
      <w:r w:rsidR="008C726A" w:rsidRPr="00770AAC">
        <w:rPr>
          <w:rFonts w:ascii="Times New Roman" w:hAnsi="Times New Roman" w:cs="Times New Roman"/>
          <w:sz w:val="24"/>
          <w:szCs w:val="24"/>
        </w:rPr>
        <w:t xml:space="preserve"> to dwindle and often presents challenges under the current statutory requirements. IACC supports the ability to provide </w:t>
      </w:r>
      <w:proofErr w:type="gramStart"/>
      <w:r w:rsidR="008C726A" w:rsidRPr="00770AAC">
        <w:rPr>
          <w:rFonts w:ascii="Times New Roman" w:hAnsi="Times New Roman" w:cs="Times New Roman"/>
          <w:sz w:val="24"/>
          <w:szCs w:val="24"/>
        </w:rPr>
        <w:t>notice</w:t>
      </w:r>
      <w:proofErr w:type="gramEnd"/>
      <w:r w:rsidR="008C726A" w:rsidRPr="00770AAC">
        <w:rPr>
          <w:rFonts w:ascii="Times New Roman" w:hAnsi="Times New Roman" w:cs="Times New Roman"/>
          <w:sz w:val="24"/>
          <w:szCs w:val="24"/>
        </w:rPr>
        <w:t xml:space="preserve"> on the county website AND in public thoroughfares in county offices. </w:t>
      </w:r>
      <w:proofErr w:type="gramStart"/>
      <w:r w:rsidRPr="00770AAC">
        <w:rPr>
          <w:rFonts w:ascii="Times New Roman" w:hAnsi="Times New Roman" w:cs="Times New Roman"/>
          <w:sz w:val="24"/>
          <w:szCs w:val="24"/>
        </w:rPr>
        <w:t>Also</w:t>
      </w:r>
      <w:proofErr w:type="gramEnd"/>
      <w:r w:rsidRPr="00770AAC">
        <w:rPr>
          <w:rFonts w:ascii="Times New Roman" w:hAnsi="Times New Roman" w:cs="Times New Roman"/>
          <w:sz w:val="24"/>
          <w:szCs w:val="24"/>
        </w:rPr>
        <w:t xml:space="preserve"> IACC supports the review and use of the internet as a publication tool for meetings, ordinances, and tax information. With the continued advancement of technology and the interconnectedness of communities, a centralized official county or government website, conveying required publication materials, allows the taxpayers to monitor a centralized location for all county information.</w:t>
      </w:r>
    </w:p>
    <w:p w14:paraId="6E1206FF" w14:textId="77777777" w:rsidR="005A1CE3" w:rsidRPr="00770AAC" w:rsidRDefault="005A1CE3" w:rsidP="005A1CE3">
      <w:pPr>
        <w:jc w:val="both"/>
        <w:rPr>
          <w:rFonts w:ascii="Times New Roman" w:hAnsi="Times New Roman" w:cs="Times New Roman"/>
          <w:sz w:val="24"/>
          <w:szCs w:val="24"/>
        </w:rPr>
      </w:pPr>
    </w:p>
    <w:p w14:paraId="6BF3BE21" w14:textId="2D0CE35C" w:rsidR="004B7133" w:rsidRPr="00770AAC" w:rsidRDefault="005A3AD9"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 xml:space="preserve">IACC supports the inclusion of a county commissioner representative on the </w:t>
      </w:r>
      <w:r w:rsidR="0043283D" w:rsidRPr="00770AAC">
        <w:rPr>
          <w:rFonts w:ascii="Times New Roman" w:hAnsi="Times New Roman" w:cs="Times New Roman"/>
          <w:sz w:val="24"/>
          <w:szCs w:val="24"/>
        </w:rPr>
        <w:t>I</w:t>
      </w:r>
      <w:r w:rsidRPr="00770AAC">
        <w:rPr>
          <w:rFonts w:ascii="Times New Roman" w:hAnsi="Times New Roman" w:cs="Times New Roman"/>
          <w:sz w:val="24"/>
          <w:szCs w:val="24"/>
        </w:rPr>
        <w:t xml:space="preserve">NPRS </w:t>
      </w:r>
      <w:r w:rsidR="0043283D" w:rsidRPr="00770AAC">
        <w:rPr>
          <w:rFonts w:ascii="Times New Roman" w:hAnsi="Times New Roman" w:cs="Times New Roman"/>
          <w:sz w:val="24"/>
          <w:szCs w:val="24"/>
        </w:rPr>
        <w:t>Board of Trustees</w:t>
      </w:r>
      <w:r w:rsidRPr="00770AAC">
        <w:rPr>
          <w:rFonts w:ascii="Times New Roman" w:hAnsi="Times New Roman" w:cs="Times New Roman"/>
          <w:sz w:val="24"/>
          <w:szCs w:val="24"/>
        </w:rPr>
        <w:t>.</w:t>
      </w:r>
    </w:p>
    <w:p w14:paraId="23CE7A80" w14:textId="77777777" w:rsidR="00CE0D17" w:rsidRPr="00770AAC" w:rsidRDefault="00CE0D17" w:rsidP="00CE0D17">
      <w:pPr>
        <w:pStyle w:val="ListParagraph"/>
        <w:rPr>
          <w:rFonts w:ascii="Times New Roman" w:hAnsi="Times New Roman" w:cs="Times New Roman"/>
          <w:sz w:val="24"/>
          <w:szCs w:val="24"/>
        </w:rPr>
      </w:pPr>
    </w:p>
    <w:p w14:paraId="627B007C" w14:textId="056D9EED" w:rsidR="00CE0D17" w:rsidRPr="00770AAC" w:rsidRDefault="004600A5"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the removal of the sunset provision for the $0.01 gas tax inflation mechanism.</w:t>
      </w:r>
    </w:p>
    <w:p w14:paraId="0D206E9C" w14:textId="6104639C" w:rsidR="004C695A" w:rsidRPr="00770AAC" w:rsidRDefault="004C695A" w:rsidP="004C695A">
      <w:pPr>
        <w:jc w:val="both"/>
        <w:rPr>
          <w:rFonts w:ascii="Times New Roman" w:hAnsi="Times New Roman" w:cs="Times New Roman"/>
          <w:sz w:val="24"/>
          <w:szCs w:val="24"/>
        </w:rPr>
      </w:pPr>
    </w:p>
    <w:p w14:paraId="00D1F054" w14:textId="77777777" w:rsidR="00B92537" w:rsidRPr="00770AAC" w:rsidRDefault="00C52F68"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 xml:space="preserve">MVH </w:t>
      </w:r>
      <w:r w:rsidR="00F36F5D" w:rsidRPr="00770AAC">
        <w:rPr>
          <w:rFonts w:ascii="Times New Roman" w:hAnsi="Times New Roman" w:cs="Times New Roman"/>
          <w:sz w:val="24"/>
          <w:szCs w:val="24"/>
        </w:rPr>
        <w:t xml:space="preserve">fund flexibility. This specifically includes flexibility pertaining to </w:t>
      </w:r>
      <w:r w:rsidR="001C47A3" w:rsidRPr="00770AAC">
        <w:rPr>
          <w:rFonts w:ascii="Times New Roman" w:hAnsi="Times New Roman" w:cs="Times New Roman"/>
          <w:sz w:val="24"/>
          <w:szCs w:val="24"/>
        </w:rPr>
        <w:t xml:space="preserve">the restrictions on </w:t>
      </w:r>
      <w:r w:rsidR="00F36F5D" w:rsidRPr="00770AAC">
        <w:rPr>
          <w:rFonts w:ascii="Times New Roman" w:hAnsi="Times New Roman" w:cs="Times New Roman"/>
          <w:sz w:val="24"/>
          <w:szCs w:val="24"/>
        </w:rPr>
        <w:t>Motor Vehicle Highway funds</w:t>
      </w:r>
      <w:r w:rsidR="00BF3829" w:rsidRPr="00770AAC">
        <w:rPr>
          <w:rFonts w:ascii="Times New Roman" w:hAnsi="Times New Roman" w:cs="Times New Roman"/>
          <w:sz w:val="24"/>
          <w:szCs w:val="24"/>
        </w:rPr>
        <w:t xml:space="preserve"> and </w:t>
      </w:r>
      <w:proofErr w:type="gramStart"/>
      <w:r w:rsidR="00BF3829" w:rsidRPr="00770AAC">
        <w:rPr>
          <w:rFonts w:ascii="Times New Roman" w:hAnsi="Times New Roman" w:cs="Times New Roman"/>
          <w:sz w:val="24"/>
          <w:szCs w:val="24"/>
        </w:rPr>
        <w:t>potentially</w:t>
      </w:r>
      <w:proofErr w:type="gramEnd"/>
      <w:r w:rsidR="00BF3829" w:rsidRPr="00770AAC">
        <w:rPr>
          <w:rFonts w:ascii="Times New Roman" w:hAnsi="Times New Roman" w:cs="Times New Roman"/>
          <w:sz w:val="24"/>
          <w:szCs w:val="24"/>
        </w:rPr>
        <w:t xml:space="preserve"> percentage changes (from 50/50)</w:t>
      </w:r>
      <w:r w:rsidR="0078525D" w:rsidRPr="00770AAC">
        <w:rPr>
          <w:rFonts w:ascii="Times New Roman" w:hAnsi="Times New Roman" w:cs="Times New Roman"/>
          <w:sz w:val="24"/>
          <w:szCs w:val="24"/>
        </w:rPr>
        <w:t xml:space="preserve"> and review of formula used for MVH distributions.</w:t>
      </w:r>
    </w:p>
    <w:p w14:paraId="10FD6F34" w14:textId="77777777" w:rsidR="008A257B" w:rsidRPr="00770AAC" w:rsidRDefault="008A257B" w:rsidP="008A257B">
      <w:pPr>
        <w:pStyle w:val="ListParagraph"/>
        <w:rPr>
          <w:rFonts w:ascii="Times New Roman" w:hAnsi="Times New Roman" w:cs="Times New Roman"/>
          <w:sz w:val="24"/>
          <w:szCs w:val="24"/>
        </w:rPr>
      </w:pPr>
    </w:p>
    <w:p w14:paraId="659FE991" w14:textId="77777777" w:rsidR="008A257B" w:rsidRPr="00770AAC" w:rsidRDefault="008A257B" w:rsidP="005A1CE3">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the ability to bond using the gas tax as the backing for debt service, in the same way municipalities currently do.</w:t>
      </w:r>
    </w:p>
    <w:p w14:paraId="6EDAE214" w14:textId="46A282AB" w:rsidR="008A257B" w:rsidRPr="00770AAC" w:rsidRDefault="008A257B" w:rsidP="004C695A">
      <w:pPr>
        <w:rPr>
          <w:rFonts w:ascii="Times New Roman" w:hAnsi="Times New Roman" w:cs="Times New Roman"/>
          <w:sz w:val="24"/>
          <w:szCs w:val="24"/>
        </w:rPr>
      </w:pPr>
    </w:p>
    <w:p w14:paraId="5E2016B2" w14:textId="781DE30E" w:rsidR="00892291" w:rsidRPr="00770AAC" w:rsidRDefault="005A1CE3" w:rsidP="00892291">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supports all efforts to retain great county highway engineers and superintendents, including the expanded stipend for the county highway superintendent.</w:t>
      </w:r>
    </w:p>
    <w:p w14:paraId="66B7C253" w14:textId="77777777" w:rsidR="0054160D" w:rsidRPr="00770AAC" w:rsidRDefault="0054160D" w:rsidP="0054160D">
      <w:pPr>
        <w:pStyle w:val="ListParagraph"/>
        <w:rPr>
          <w:rFonts w:ascii="Times New Roman" w:hAnsi="Times New Roman" w:cs="Times New Roman"/>
          <w:sz w:val="24"/>
          <w:szCs w:val="24"/>
        </w:rPr>
      </w:pPr>
    </w:p>
    <w:p w14:paraId="2D9C7816" w14:textId="4A9019EA" w:rsidR="0054160D" w:rsidRPr="00770AAC" w:rsidRDefault="0054160D" w:rsidP="00892291">
      <w:pPr>
        <w:pStyle w:val="ListParagraph"/>
        <w:numPr>
          <w:ilvl w:val="0"/>
          <w:numId w:val="3"/>
        </w:numPr>
        <w:jc w:val="both"/>
        <w:rPr>
          <w:rFonts w:ascii="Times New Roman" w:hAnsi="Times New Roman" w:cs="Times New Roman"/>
          <w:sz w:val="24"/>
          <w:szCs w:val="24"/>
        </w:rPr>
      </w:pPr>
      <w:r w:rsidRPr="00770AAC">
        <w:rPr>
          <w:rFonts w:ascii="Times New Roman" w:hAnsi="Times New Roman" w:cs="Times New Roman"/>
          <w:sz w:val="24"/>
          <w:szCs w:val="24"/>
        </w:rPr>
        <w:t>IACC does not support the inclusion of any extraneous calculations concerning the valuation of land during condemnation proceedings or during the use of eminent domain. Any speculative valuation should not be included in the process.</w:t>
      </w:r>
    </w:p>
    <w:sectPr w:rsidR="0054160D" w:rsidRPr="00770AAC" w:rsidSect="00770AA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D26E" w14:textId="77777777" w:rsidR="00EE6C4F" w:rsidRDefault="00EE6C4F" w:rsidP="00907F86">
      <w:pPr>
        <w:spacing w:after="0" w:line="240" w:lineRule="auto"/>
      </w:pPr>
      <w:r>
        <w:separator/>
      </w:r>
    </w:p>
  </w:endnote>
  <w:endnote w:type="continuationSeparator" w:id="0">
    <w:p w14:paraId="5DD8706F" w14:textId="77777777" w:rsidR="00EE6C4F" w:rsidRDefault="00EE6C4F" w:rsidP="0090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123D" w14:textId="77777777" w:rsidR="00EE6C4F" w:rsidRDefault="00EE6C4F" w:rsidP="00907F86">
      <w:pPr>
        <w:spacing w:after="0" w:line="240" w:lineRule="auto"/>
      </w:pPr>
      <w:r>
        <w:separator/>
      </w:r>
    </w:p>
  </w:footnote>
  <w:footnote w:type="continuationSeparator" w:id="0">
    <w:p w14:paraId="0AC98DC8" w14:textId="77777777" w:rsidR="00EE6C4F" w:rsidRDefault="00EE6C4F" w:rsidP="0090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A9C7" w14:textId="77777777" w:rsidR="00907F86" w:rsidRDefault="00907F86" w:rsidP="00907F86">
    <w:pPr>
      <w:pStyle w:val="Header"/>
      <w:jc w:val="center"/>
    </w:pPr>
    <w:r w:rsidRPr="00CD269F">
      <w:rPr>
        <w:rFonts w:ascii="Helvetica" w:eastAsia="Times New Roman" w:hAnsi="Helvetica" w:cs="Helvetica"/>
        <w:noProof/>
        <w:color w:val="000000"/>
        <w:sz w:val="18"/>
        <w:szCs w:val="18"/>
      </w:rPr>
      <w:drawing>
        <wp:inline distT="0" distB="0" distL="0" distR="0" wp14:anchorId="7CF786E8" wp14:editId="3EFF6C7D">
          <wp:extent cx="39624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000F"/>
    <w:multiLevelType w:val="hybridMultilevel"/>
    <w:tmpl w:val="2078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6E3D"/>
    <w:multiLevelType w:val="hybridMultilevel"/>
    <w:tmpl w:val="C24C81D0"/>
    <w:lvl w:ilvl="0" w:tplc="BAE8D522">
      <w:start w:val="1"/>
      <w:numFmt w:val="decimal"/>
      <w:lvlText w:val="%1."/>
      <w:lvlJc w:val="left"/>
      <w:pPr>
        <w:ind w:left="720" w:hanging="360"/>
      </w:pPr>
    </w:lvl>
    <w:lvl w:ilvl="1" w:tplc="3078D10A">
      <w:start w:val="1"/>
      <w:numFmt w:val="lowerLetter"/>
      <w:lvlText w:val="%2."/>
      <w:lvlJc w:val="left"/>
      <w:pPr>
        <w:ind w:left="1440" w:hanging="360"/>
      </w:pPr>
    </w:lvl>
    <w:lvl w:ilvl="2" w:tplc="EC7617B2" w:tentative="1">
      <w:start w:val="1"/>
      <w:numFmt w:val="lowerRoman"/>
      <w:lvlText w:val="%3."/>
      <w:lvlJc w:val="right"/>
      <w:pPr>
        <w:ind w:left="2160" w:hanging="180"/>
      </w:pPr>
    </w:lvl>
    <w:lvl w:ilvl="3" w:tplc="88800E42" w:tentative="1">
      <w:start w:val="1"/>
      <w:numFmt w:val="decimal"/>
      <w:lvlText w:val="%4."/>
      <w:lvlJc w:val="left"/>
      <w:pPr>
        <w:ind w:left="2880" w:hanging="360"/>
      </w:pPr>
    </w:lvl>
    <w:lvl w:ilvl="4" w:tplc="4462C150" w:tentative="1">
      <w:start w:val="1"/>
      <w:numFmt w:val="lowerLetter"/>
      <w:lvlText w:val="%5."/>
      <w:lvlJc w:val="left"/>
      <w:pPr>
        <w:ind w:left="3600" w:hanging="360"/>
      </w:pPr>
    </w:lvl>
    <w:lvl w:ilvl="5" w:tplc="CBAADB48" w:tentative="1">
      <w:start w:val="1"/>
      <w:numFmt w:val="lowerRoman"/>
      <w:lvlText w:val="%6."/>
      <w:lvlJc w:val="right"/>
      <w:pPr>
        <w:ind w:left="4320" w:hanging="180"/>
      </w:pPr>
    </w:lvl>
    <w:lvl w:ilvl="6" w:tplc="E6B2DCC4" w:tentative="1">
      <w:start w:val="1"/>
      <w:numFmt w:val="decimal"/>
      <w:lvlText w:val="%7."/>
      <w:lvlJc w:val="left"/>
      <w:pPr>
        <w:ind w:left="5040" w:hanging="360"/>
      </w:pPr>
    </w:lvl>
    <w:lvl w:ilvl="7" w:tplc="D53AAD20" w:tentative="1">
      <w:start w:val="1"/>
      <w:numFmt w:val="lowerLetter"/>
      <w:lvlText w:val="%8."/>
      <w:lvlJc w:val="left"/>
      <w:pPr>
        <w:ind w:left="5760" w:hanging="360"/>
      </w:pPr>
    </w:lvl>
    <w:lvl w:ilvl="8" w:tplc="23A4A036" w:tentative="1">
      <w:start w:val="1"/>
      <w:numFmt w:val="lowerRoman"/>
      <w:lvlText w:val="%9."/>
      <w:lvlJc w:val="right"/>
      <w:pPr>
        <w:ind w:left="6480" w:hanging="180"/>
      </w:pPr>
    </w:lvl>
  </w:abstractNum>
  <w:abstractNum w:abstractNumId="2" w15:restartNumberingAfterBreak="0">
    <w:nsid w:val="3EBF58C7"/>
    <w:multiLevelType w:val="hybridMultilevel"/>
    <w:tmpl w:val="FDC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164DD"/>
    <w:multiLevelType w:val="hybridMultilevel"/>
    <w:tmpl w:val="5A2EFC0E"/>
    <w:lvl w:ilvl="0" w:tplc="59B28824">
      <w:start w:val="1"/>
      <w:numFmt w:val="decimal"/>
      <w:lvlText w:val="%1."/>
      <w:lvlJc w:val="left"/>
      <w:pPr>
        <w:ind w:left="1395" w:hanging="10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162958">
    <w:abstractNumId w:val="3"/>
  </w:num>
  <w:num w:numId="2" w16cid:durableId="617685906">
    <w:abstractNumId w:val="1"/>
  </w:num>
  <w:num w:numId="3" w16cid:durableId="1891843140">
    <w:abstractNumId w:val="2"/>
  </w:num>
  <w:num w:numId="4" w16cid:durableId="173755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36"/>
    <w:rsid w:val="00004B47"/>
    <w:rsid w:val="00086247"/>
    <w:rsid w:val="00097801"/>
    <w:rsid w:val="000A3BC2"/>
    <w:rsid w:val="000A62E8"/>
    <w:rsid w:val="000A6565"/>
    <w:rsid w:val="000C5B79"/>
    <w:rsid w:val="000F7DB3"/>
    <w:rsid w:val="001C47A3"/>
    <w:rsid w:val="0022430C"/>
    <w:rsid w:val="0028772F"/>
    <w:rsid w:val="0029452A"/>
    <w:rsid w:val="002B422B"/>
    <w:rsid w:val="002B702F"/>
    <w:rsid w:val="002E682C"/>
    <w:rsid w:val="00306183"/>
    <w:rsid w:val="00391594"/>
    <w:rsid w:val="003A4286"/>
    <w:rsid w:val="003C5A95"/>
    <w:rsid w:val="003E6EE5"/>
    <w:rsid w:val="003E775E"/>
    <w:rsid w:val="00410555"/>
    <w:rsid w:val="0043283D"/>
    <w:rsid w:val="004600A5"/>
    <w:rsid w:val="004B7133"/>
    <w:rsid w:val="004C695A"/>
    <w:rsid w:val="004D7197"/>
    <w:rsid w:val="004E0C0F"/>
    <w:rsid w:val="00507836"/>
    <w:rsid w:val="0051434F"/>
    <w:rsid w:val="0051572C"/>
    <w:rsid w:val="0054160D"/>
    <w:rsid w:val="00565D45"/>
    <w:rsid w:val="00596517"/>
    <w:rsid w:val="005A1CE3"/>
    <w:rsid w:val="005A3AD9"/>
    <w:rsid w:val="005F7F53"/>
    <w:rsid w:val="006421B7"/>
    <w:rsid w:val="00667E31"/>
    <w:rsid w:val="006A50E3"/>
    <w:rsid w:val="006E25B9"/>
    <w:rsid w:val="006F0706"/>
    <w:rsid w:val="00770AAC"/>
    <w:rsid w:val="0078525D"/>
    <w:rsid w:val="007B1025"/>
    <w:rsid w:val="007B747A"/>
    <w:rsid w:val="007C5380"/>
    <w:rsid w:val="007D287B"/>
    <w:rsid w:val="007F77F0"/>
    <w:rsid w:val="0081620A"/>
    <w:rsid w:val="008214AF"/>
    <w:rsid w:val="008539B4"/>
    <w:rsid w:val="00892291"/>
    <w:rsid w:val="008A257B"/>
    <w:rsid w:val="008B0AAF"/>
    <w:rsid w:val="008C726A"/>
    <w:rsid w:val="008D59A6"/>
    <w:rsid w:val="008D6912"/>
    <w:rsid w:val="00907F86"/>
    <w:rsid w:val="00917DED"/>
    <w:rsid w:val="00917E24"/>
    <w:rsid w:val="00921BF2"/>
    <w:rsid w:val="00953AF6"/>
    <w:rsid w:val="009547C1"/>
    <w:rsid w:val="00985DE1"/>
    <w:rsid w:val="009E0104"/>
    <w:rsid w:val="009E5A05"/>
    <w:rsid w:val="00A269E0"/>
    <w:rsid w:val="00A56188"/>
    <w:rsid w:val="00A71B6B"/>
    <w:rsid w:val="00AA6418"/>
    <w:rsid w:val="00AC3B2D"/>
    <w:rsid w:val="00B0685A"/>
    <w:rsid w:val="00B55725"/>
    <w:rsid w:val="00B92537"/>
    <w:rsid w:val="00BF0CE8"/>
    <w:rsid w:val="00BF3829"/>
    <w:rsid w:val="00BF64DF"/>
    <w:rsid w:val="00C07069"/>
    <w:rsid w:val="00C4789D"/>
    <w:rsid w:val="00C52F68"/>
    <w:rsid w:val="00C81CBC"/>
    <w:rsid w:val="00CE0D17"/>
    <w:rsid w:val="00DC3BFD"/>
    <w:rsid w:val="00DD4E19"/>
    <w:rsid w:val="00DD53F0"/>
    <w:rsid w:val="00E34A4D"/>
    <w:rsid w:val="00E96F06"/>
    <w:rsid w:val="00EA52BC"/>
    <w:rsid w:val="00ED1996"/>
    <w:rsid w:val="00EE6C4F"/>
    <w:rsid w:val="00F12047"/>
    <w:rsid w:val="00F13484"/>
    <w:rsid w:val="00F36F5D"/>
    <w:rsid w:val="00F51AEC"/>
    <w:rsid w:val="00F62D7B"/>
    <w:rsid w:val="00F74EC2"/>
    <w:rsid w:val="00FA26E9"/>
    <w:rsid w:val="00FC6885"/>
    <w:rsid w:val="00FF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A6BD4"/>
  <w15:docId w15:val="{8B417676-EFAA-48F7-BD8C-4003EC77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4F"/>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C5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95"/>
    <w:rPr>
      <w:rFonts w:ascii="Segoe UI" w:hAnsi="Segoe UI" w:cs="Segoe UI"/>
      <w:sz w:val="18"/>
      <w:szCs w:val="18"/>
    </w:rPr>
  </w:style>
  <w:style w:type="paragraph" w:styleId="Header">
    <w:name w:val="header"/>
    <w:basedOn w:val="Normal"/>
    <w:link w:val="HeaderChar"/>
    <w:uiPriority w:val="99"/>
    <w:unhideWhenUsed/>
    <w:rsid w:val="0090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86"/>
  </w:style>
  <w:style w:type="paragraph" w:styleId="Footer">
    <w:name w:val="footer"/>
    <w:basedOn w:val="Normal"/>
    <w:link w:val="FooterChar"/>
    <w:uiPriority w:val="99"/>
    <w:unhideWhenUsed/>
    <w:rsid w:val="0090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86"/>
  </w:style>
  <w:style w:type="character" w:styleId="CommentReference">
    <w:name w:val="annotation reference"/>
    <w:basedOn w:val="DefaultParagraphFont"/>
    <w:uiPriority w:val="99"/>
    <w:semiHidden/>
    <w:unhideWhenUsed/>
    <w:rsid w:val="000A62E8"/>
    <w:rPr>
      <w:sz w:val="16"/>
      <w:szCs w:val="16"/>
    </w:rPr>
  </w:style>
  <w:style w:type="paragraph" w:styleId="CommentText">
    <w:name w:val="annotation text"/>
    <w:basedOn w:val="Normal"/>
    <w:link w:val="CommentTextChar"/>
    <w:uiPriority w:val="99"/>
    <w:semiHidden/>
    <w:unhideWhenUsed/>
    <w:rsid w:val="000A62E8"/>
    <w:pPr>
      <w:spacing w:line="240" w:lineRule="auto"/>
    </w:pPr>
    <w:rPr>
      <w:sz w:val="20"/>
      <w:szCs w:val="20"/>
    </w:rPr>
  </w:style>
  <w:style w:type="character" w:customStyle="1" w:styleId="CommentTextChar">
    <w:name w:val="Comment Text Char"/>
    <w:basedOn w:val="DefaultParagraphFont"/>
    <w:link w:val="CommentText"/>
    <w:uiPriority w:val="99"/>
    <w:semiHidden/>
    <w:rsid w:val="000A62E8"/>
    <w:rPr>
      <w:sz w:val="20"/>
      <w:szCs w:val="20"/>
    </w:rPr>
  </w:style>
  <w:style w:type="paragraph" w:styleId="CommentSubject">
    <w:name w:val="annotation subject"/>
    <w:basedOn w:val="CommentText"/>
    <w:next w:val="CommentText"/>
    <w:link w:val="CommentSubjectChar"/>
    <w:uiPriority w:val="99"/>
    <w:semiHidden/>
    <w:unhideWhenUsed/>
    <w:rsid w:val="000A62E8"/>
    <w:rPr>
      <w:b/>
      <w:bCs/>
    </w:rPr>
  </w:style>
  <w:style w:type="character" w:customStyle="1" w:styleId="CommentSubjectChar">
    <w:name w:val="Comment Subject Char"/>
    <w:basedOn w:val="CommentTextChar"/>
    <w:link w:val="CommentSubject"/>
    <w:uiPriority w:val="99"/>
    <w:semiHidden/>
    <w:rsid w:val="000A6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stephanie@iaccsim2k.onmicrosoft.com</cp:lastModifiedBy>
  <cp:revision>2</cp:revision>
  <cp:lastPrinted>1900-01-01T05:00:00Z</cp:lastPrinted>
  <dcterms:created xsi:type="dcterms:W3CDTF">2022-11-08T21:57:00Z</dcterms:created>
  <dcterms:modified xsi:type="dcterms:W3CDTF">2022-11-08T21:57:00Z</dcterms:modified>
</cp:coreProperties>
</file>