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707C" w14:textId="77777777" w:rsidR="00907F86" w:rsidRDefault="00907F86" w:rsidP="00507836">
      <w:pPr>
        <w:spacing w:after="0" w:line="240" w:lineRule="auto"/>
        <w:jc w:val="center"/>
        <w:rPr>
          <w:rFonts w:cstheme="minorHAnsi"/>
          <w:b/>
          <w:sz w:val="32"/>
          <w:szCs w:val="20"/>
        </w:rPr>
      </w:pPr>
    </w:p>
    <w:p w14:paraId="4B15F97F" w14:textId="360809F4" w:rsidR="003C5A95" w:rsidRPr="00770AAC" w:rsidRDefault="00507836" w:rsidP="005A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AC">
        <w:rPr>
          <w:rFonts w:ascii="Times New Roman" w:hAnsi="Times New Roman" w:cs="Times New Roman"/>
          <w:b/>
          <w:sz w:val="24"/>
          <w:szCs w:val="24"/>
        </w:rPr>
        <w:t>IACC</w:t>
      </w:r>
      <w:r w:rsidR="000A62E8" w:rsidRPr="00770AA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34A4D" w:rsidRPr="0077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74A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9547C1" w:rsidRPr="00770AAC">
        <w:rPr>
          <w:rFonts w:ascii="Times New Roman" w:hAnsi="Times New Roman" w:cs="Times New Roman"/>
          <w:b/>
          <w:sz w:val="24"/>
          <w:szCs w:val="24"/>
        </w:rPr>
        <w:t xml:space="preserve">LEGISLATIVE </w:t>
      </w:r>
      <w:r w:rsidR="004B7133" w:rsidRPr="00770AAC">
        <w:rPr>
          <w:rFonts w:ascii="Times New Roman" w:hAnsi="Times New Roman" w:cs="Times New Roman"/>
          <w:b/>
          <w:sz w:val="24"/>
          <w:szCs w:val="24"/>
        </w:rPr>
        <w:t>TOPICS</w:t>
      </w:r>
    </w:p>
    <w:p w14:paraId="25115CAC" w14:textId="77777777" w:rsidR="005A1CE3" w:rsidRPr="00770AAC" w:rsidRDefault="005A1CE3" w:rsidP="005A1CE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61CFCAA" w14:textId="07DA968D" w:rsidR="000A62E8" w:rsidRPr="00DE208A" w:rsidRDefault="000A62E8" w:rsidP="005A1C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08A">
        <w:rPr>
          <w:rFonts w:ascii="Times New Roman" w:hAnsi="Times New Roman" w:cs="Times New Roman"/>
          <w:sz w:val="24"/>
          <w:szCs w:val="24"/>
        </w:rPr>
        <w:t xml:space="preserve">IACC supports the Governor’s State Public Health Commission and the ultimate goal of improving the state’s overall health and </w:t>
      </w:r>
      <w:r w:rsidR="00E96F06" w:rsidRPr="00DE208A">
        <w:rPr>
          <w:rFonts w:ascii="Times New Roman" w:hAnsi="Times New Roman" w:cs="Times New Roman"/>
          <w:sz w:val="24"/>
          <w:szCs w:val="24"/>
        </w:rPr>
        <w:t>health outcomes. IACC supports the use of data to modernize public health services, and furthermore, IACC supports the state’s financial support of this effort.</w:t>
      </w:r>
      <w:r w:rsidR="00FA26E9" w:rsidRPr="00DE208A">
        <w:rPr>
          <w:rFonts w:ascii="Times New Roman" w:hAnsi="Times New Roman" w:cs="Times New Roman"/>
          <w:sz w:val="24"/>
          <w:szCs w:val="24"/>
        </w:rPr>
        <w:t xml:space="preserve"> </w:t>
      </w:r>
      <w:r w:rsidR="004D7197" w:rsidRPr="00DE208A">
        <w:rPr>
          <w:rFonts w:ascii="Times New Roman" w:hAnsi="Times New Roman" w:cs="Times New Roman"/>
          <w:sz w:val="24"/>
          <w:szCs w:val="24"/>
        </w:rPr>
        <w:t xml:space="preserve">However, IACC </w:t>
      </w:r>
      <w:r w:rsidR="0029452A" w:rsidRPr="00DE208A">
        <w:rPr>
          <w:rFonts w:ascii="Times New Roman" w:hAnsi="Times New Roman" w:cs="Times New Roman"/>
          <w:sz w:val="24"/>
          <w:szCs w:val="24"/>
        </w:rPr>
        <w:t xml:space="preserve">supports an opt-out mechanism for </w:t>
      </w:r>
      <w:r w:rsidR="007F77F0" w:rsidRPr="00DE208A">
        <w:rPr>
          <w:rFonts w:ascii="Times New Roman" w:hAnsi="Times New Roman" w:cs="Times New Roman"/>
          <w:sz w:val="24"/>
          <w:szCs w:val="24"/>
        </w:rPr>
        <w:t>the commissioners</w:t>
      </w:r>
      <w:r w:rsidR="0029452A" w:rsidRPr="00DE208A">
        <w:rPr>
          <w:rFonts w:ascii="Times New Roman" w:hAnsi="Times New Roman" w:cs="Times New Roman"/>
          <w:sz w:val="24"/>
          <w:szCs w:val="24"/>
        </w:rPr>
        <w:t xml:space="preserve"> that do not want to participate in any </w:t>
      </w:r>
      <w:r w:rsidR="007F77F0" w:rsidRPr="00DE208A">
        <w:rPr>
          <w:rFonts w:ascii="Times New Roman" w:hAnsi="Times New Roman" w:cs="Times New Roman"/>
          <w:sz w:val="24"/>
          <w:szCs w:val="24"/>
        </w:rPr>
        <w:t xml:space="preserve">or all </w:t>
      </w:r>
      <w:r w:rsidR="0029452A" w:rsidRPr="00DE208A">
        <w:rPr>
          <w:rFonts w:ascii="Times New Roman" w:hAnsi="Times New Roman" w:cs="Times New Roman"/>
          <w:sz w:val="24"/>
          <w:szCs w:val="24"/>
        </w:rPr>
        <w:t>programs established by the commission</w:t>
      </w:r>
      <w:r w:rsidR="007F77F0" w:rsidRPr="00DE208A">
        <w:rPr>
          <w:rFonts w:ascii="Times New Roman" w:hAnsi="Times New Roman" w:cs="Times New Roman"/>
          <w:sz w:val="24"/>
          <w:szCs w:val="24"/>
        </w:rPr>
        <w:t>,</w:t>
      </w:r>
      <w:r w:rsidR="0029452A" w:rsidRPr="00DE208A">
        <w:rPr>
          <w:rFonts w:ascii="Times New Roman" w:hAnsi="Times New Roman" w:cs="Times New Roman"/>
          <w:sz w:val="24"/>
          <w:szCs w:val="24"/>
        </w:rPr>
        <w:t xml:space="preserve"> without loss of current funding level.</w:t>
      </w:r>
    </w:p>
    <w:p w14:paraId="4115D8DB" w14:textId="77777777" w:rsidR="003A4286" w:rsidRPr="00DE208A" w:rsidRDefault="003A4286" w:rsidP="003A42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2D0DE4" w14:textId="4F0767CE" w:rsidR="003A4286" w:rsidRPr="00DE208A" w:rsidRDefault="003A4286" w:rsidP="003A42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08A">
        <w:rPr>
          <w:rFonts w:ascii="Times New Roman" w:hAnsi="Times New Roman" w:cs="Times New Roman"/>
          <w:sz w:val="24"/>
          <w:szCs w:val="24"/>
        </w:rPr>
        <w:t xml:space="preserve">IACC supports the </w:t>
      </w:r>
      <w:r w:rsidR="00205B21" w:rsidRPr="00DE208A">
        <w:rPr>
          <w:rFonts w:ascii="Times New Roman" w:hAnsi="Times New Roman" w:cs="Times New Roman"/>
          <w:sz w:val="24"/>
          <w:szCs w:val="24"/>
        </w:rPr>
        <w:t>review of the CMHC statutes and expansion of the CMHC boards to include a commission</w:t>
      </w:r>
      <w:r w:rsidR="00687EA4" w:rsidRPr="00DE208A">
        <w:rPr>
          <w:rFonts w:ascii="Times New Roman" w:hAnsi="Times New Roman" w:cs="Times New Roman"/>
          <w:sz w:val="24"/>
          <w:szCs w:val="24"/>
        </w:rPr>
        <w:t>ers’ appointment from each county that is supported by the CMHC. Furthermore, the commissioners support a mechanism of accountability through metrics or budgetary review of dollars provided to CMHCs from county budgets.</w:t>
      </w:r>
    </w:p>
    <w:p w14:paraId="217AD6D8" w14:textId="2C1E960F" w:rsidR="00E96F06" w:rsidRPr="00DE208A" w:rsidRDefault="00E96F06" w:rsidP="00687E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F4AEF" w14:textId="607C283D" w:rsidR="00391594" w:rsidRPr="00DE208A" w:rsidRDefault="00391594" w:rsidP="005A1C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08A">
        <w:rPr>
          <w:rFonts w:ascii="Times New Roman" w:hAnsi="Times New Roman" w:cs="Times New Roman"/>
          <w:sz w:val="24"/>
          <w:szCs w:val="24"/>
        </w:rPr>
        <w:t xml:space="preserve">IACC supports the defense Home Rule including, but not limited to, retaining the authority at the local level to control the development of land (zoning ordinances), adamantly oppose the pre-emption of local land use controls (i.e. short term rentals, mining, agricultural operations, utility installations, energy generation, </w:t>
      </w:r>
      <w:r w:rsidR="00BF64DF" w:rsidRPr="00DE208A">
        <w:rPr>
          <w:rFonts w:ascii="Times New Roman" w:hAnsi="Times New Roman" w:cs="Times New Roman"/>
          <w:sz w:val="24"/>
          <w:szCs w:val="24"/>
        </w:rPr>
        <w:t xml:space="preserve">public health, </w:t>
      </w:r>
      <w:r w:rsidRPr="00DE208A">
        <w:rPr>
          <w:rFonts w:ascii="Times New Roman" w:hAnsi="Times New Roman" w:cs="Times New Roman"/>
          <w:sz w:val="24"/>
          <w:szCs w:val="24"/>
        </w:rPr>
        <w:t>and multi-power sources) and monitor for erosion of local license and permitting fees and powers.</w:t>
      </w:r>
    </w:p>
    <w:p w14:paraId="6D7A8E76" w14:textId="77777777" w:rsidR="00391594" w:rsidRPr="00DE208A" w:rsidRDefault="00391594" w:rsidP="005A1CE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A9E92C" w14:textId="0F92DB55" w:rsidR="002A58B5" w:rsidRPr="00DE208A" w:rsidRDefault="00C52F68" w:rsidP="00687E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08A">
        <w:rPr>
          <w:rFonts w:ascii="Times New Roman" w:hAnsi="Times New Roman" w:cs="Times New Roman"/>
          <w:sz w:val="24"/>
          <w:szCs w:val="24"/>
        </w:rPr>
        <w:t xml:space="preserve">MVH </w:t>
      </w:r>
      <w:r w:rsidR="00F36F5D" w:rsidRPr="00DE208A">
        <w:rPr>
          <w:rFonts w:ascii="Times New Roman" w:hAnsi="Times New Roman" w:cs="Times New Roman"/>
          <w:sz w:val="24"/>
          <w:szCs w:val="24"/>
        </w:rPr>
        <w:t xml:space="preserve">fund flexibility. This specifically includes flexibility pertaining to </w:t>
      </w:r>
      <w:r w:rsidR="001C47A3" w:rsidRPr="00DE208A">
        <w:rPr>
          <w:rFonts w:ascii="Times New Roman" w:hAnsi="Times New Roman" w:cs="Times New Roman"/>
          <w:sz w:val="24"/>
          <w:szCs w:val="24"/>
        </w:rPr>
        <w:t xml:space="preserve">the restrictions on </w:t>
      </w:r>
      <w:r w:rsidR="00F36F5D" w:rsidRPr="00DE208A">
        <w:rPr>
          <w:rFonts w:ascii="Times New Roman" w:hAnsi="Times New Roman" w:cs="Times New Roman"/>
          <w:sz w:val="24"/>
          <w:szCs w:val="24"/>
        </w:rPr>
        <w:t>Motor Vehicle Highway funds</w:t>
      </w:r>
      <w:r w:rsidR="00BF3829" w:rsidRPr="00DE208A">
        <w:rPr>
          <w:rFonts w:ascii="Times New Roman" w:hAnsi="Times New Roman" w:cs="Times New Roman"/>
          <w:sz w:val="24"/>
          <w:szCs w:val="24"/>
        </w:rPr>
        <w:t xml:space="preserve"> and </w:t>
      </w:r>
      <w:r w:rsidR="00A22F41" w:rsidRPr="00DE208A">
        <w:rPr>
          <w:rFonts w:ascii="Times New Roman" w:hAnsi="Times New Roman" w:cs="Times New Roman"/>
          <w:sz w:val="24"/>
          <w:szCs w:val="24"/>
        </w:rPr>
        <w:t>potential</w:t>
      </w:r>
      <w:r w:rsidR="00BF3829" w:rsidRPr="00DE208A">
        <w:rPr>
          <w:rFonts w:ascii="Times New Roman" w:hAnsi="Times New Roman" w:cs="Times New Roman"/>
          <w:sz w:val="24"/>
          <w:szCs w:val="24"/>
        </w:rPr>
        <w:t xml:space="preserve"> percentage changes (from 50/50)</w:t>
      </w:r>
      <w:r w:rsidR="0078525D" w:rsidRPr="00DE208A">
        <w:rPr>
          <w:rFonts w:ascii="Times New Roman" w:hAnsi="Times New Roman" w:cs="Times New Roman"/>
          <w:sz w:val="24"/>
          <w:szCs w:val="24"/>
        </w:rPr>
        <w:t xml:space="preserve"> and review of formula used for MVH distributions.</w:t>
      </w:r>
      <w:r w:rsidR="002A58B5" w:rsidRPr="00DE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DB8BC" w14:textId="77777777" w:rsidR="002A58B5" w:rsidRPr="00DE208A" w:rsidRDefault="002A58B5" w:rsidP="002A58B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82DD58" w14:textId="29DC5C8E" w:rsidR="00A22F41" w:rsidRPr="00DE208A" w:rsidRDefault="00A22F41" w:rsidP="00A22F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08A">
        <w:rPr>
          <w:rFonts w:ascii="Times New Roman" w:hAnsi="Times New Roman" w:cs="Times New Roman"/>
          <w:sz w:val="24"/>
          <w:szCs w:val="24"/>
        </w:rPr>
        <w:t>IACC supports responsible review and examination of current tax structures and tax policy. IACC does not support, however, the elimination of the 30% floor of the Business Personal Property Tax without a statutorily enumerated source of replace revenue, equaling or exceeding previous B</w:t>
      </w:r>
      <w:r w:rsidR="00687EA4" w:rsidRPr="00DE208A">
        <w:rPr>
          <w:rFonts w:ascii="Times New Roman" w:hAnsi="Times New Roman" w:cs="Times New Roman"/>
          <w:sz w:val="24"/>
          <w:szCs w:val="24"/>
        </w:rPr>
        <w:t xml:space="preserve">PPT revenue. Any elimination or reduction of tax support </w:t>
      </w:r>
      <w:r w:rsidR="00DE208A" w:rsidRPr="00DE208A">
        <w:rPr>
          <w:rFonts w:ascii="Times New Roman" w:hAnsi="Times New Roman" w:cs="Times New Roman"/>
          <w:sz w:val="24"/>
          <w:szCs w:val="24"/>
        </w:rPr>
        <w:t>to</w:t>
      </w:r>
      <w:r w:rsidR="00687EA4" w:rsidRPr="00DE208A">
        <w:rPr>
          <w:rFonts w:ascii="Times New Roman" w:hAnsi="Times New Roman" w:cs="Times New Roman"/>
          <w:sz w:val="24"/>
          <w:szCs w:val="24"/>
        </w:rPr>
        <w:t xml:space="preserve"> local government must be met with </w:t>
      </w:r>
      <w:r w:rsidRPr="00DE208A">
        <w:rPr>
          <w:rFonts w:ascii="Times New Roman" w:hAnsi="Times New Roman" w:cs="Times New Roman"/>
          <w:sz w:val="24"/>
          <w:szCs w:val="24"/>
        </w:rPr>
        <w:t xml:space="preserve">a direct replacement of </w:t>
      </w:r>
      <w:r w:rsidR="00687EA4" w:rsidRPr="00DE208A">
        <w:rPr>
          <w:rFonts w:ascii="Times New Roman" w:hAnsi="Times New Roman" w:cs="Times New Roman"/>
          <w:sz w:val="24"/>
          <w:szCs w:val="24"/>
        </w:rPr>
        <w:t xml:space="preserve">state </w:t>
      </w:r>
      <w:r w:rsidRPr="00DE208A">
        <w:rPr>
          <w:rFonts w:ascii="Times New Roman" w:hAnsi="Times New Roman" w:cs="Times New Roman"/>
          <w:sz w:val="24"/>
          <w:szCs w:val="24"/>
        </w:rPr>
        <w:t xml:space="preserve">dollars and economic development benefits. </w:t>
      </w:r>
    </w:p>
    <w:sectPr w:rsidR="00A22F41" w:rsidRPr="00DE208A" w:rsidSect="00770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ADB1" w14:textId="77777777" w:rsidR="00721695" w:rsidRDefault="00721695" w:rsidP="00907F86">
      <w:pPr>
        <w:spacing w:after="0" w:line="240" w:lineRule="auto"/>
      </w:pPr>
      <w:r>
        <w:separator/>
      </w:r>
    </w:p>
  </w:endnote>
  <w:endnote w:type="continuationSeparator" w:id="0">
    <w:p w14:paraId="08632AEC" w14:textId="77777777" w:rsidR="00721695" w:rsidRDefault="00721695" w:rsidP="0090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465" w14:textId="77777777" w:rsidR="0024192B" w:rsidRDefault="00241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7C7B" w14:textId="77777777" w:rsidR="0024192B" w:rsidRDefault="00241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5725" w14:textId="77777777" w:rsidR="0024192B" w:rsidRDefault="00241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0EDB" w14:textId="77777777" w:rsidR="00721695" w:rsidRDefault="00721695" w:rsidP="00907F86">
      <w:pPr>
        <w:spacing w:after="0" w:line="240" w:lineRule="auto"/>
      </w:pPr>
      <w:r>
        <w:separator/>
      </w:r>
    </w:p>
  </w:footnote>
  <w:footnote w:type="continuationSeparator" w:id="0">
    <w:p w14:paraId="7D41B821" w14:textId="77777777" w:rsidR="00721695" w:rsidRDefault="00721695" w:rsidP="0090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FE12" w14:textId="77777777" w:rsidR="0024192B" w:rsidRDefault="00241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9C7" w14:textId="71560677" w:rsidR="00907F86" w:rsidRDefault="0024192B" w:rsidP="0024192B">
    <w:pPr>
      <w:pStyle w:val="Header"/>
    </w:pPr>
    <w:r>
      <w:tab/>
    </w:r>
    <w:r w:rsidR="00907F86" w:rsidRPr="00CD269F">
      <w:rPr>
        <w:rFonts w:ascii="Helvetica" w:eastAsia="Times New Roman" w:hAnsi="Helvetica" w:cs="Helvetica"/>
        <w:noProof/>
        <w:color w:val="000000"/>
        <w:sz w:val="18"/>
        <w:szCs w:val="18"/>
      </w:rPr>
      <w:drawing>
        <wp:inline distT="0" distB="0" distL="0" distR="0" wp14:anchorId="7CF786E8" wp14:editId="34ABC59A">
          <wp:extent cx="3641697" cy="9541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212" cy="96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A89A" w14:textId="77777777" w:rsidR="0024192B" w:rsidRDefault="00241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000F"/>
    <w:multiLevelType w:val="hybridMultilevel"/>
    <w:tmpl w:val="2078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6E3D"/>
    <w:multiLevelType w:val="hybridMultilevel"/>
    <w:tmpl w:val="C24C81D0"/>
    <w:lvl w:ilvl="0" w:tplc="BAE8D522">
      <w:start w:val="1"/>
      <w:numFmt w:val="decimal"/>
      <w:lvlText w:val="%1."/>
      <w:lvlJc w:val="left"/>
      <w:pPr>
        <w:ind w:left="720" w:hanging="360"/>
      </w:pPr>
    </w:lvl>
    <w:lvl w:ilvl="1" w:tplc="3078D10A">
      <w:start w:val="1"/>
      <w:numFmt w:val="lowerLetter"/>
      <w:lvlText w:val="%2."/>
      <w:lvlJc w:val="left"/>
      <w:pPr>
        <w:ind w:left="1440" w:hanging="360"/>
      </w:pPr>
    </w:lvl>
    <w:lvl w:ilvl="2" w:tplc="EC7617B2" w:tentative="1">
      <w:start w:val="1"/>
      <w:numFmt w:val="lowerRoman"/>
      <w:lvlText w:val="%3."/>
      <w:lvlJc w:val="right"/>
      <w:pPr>
        <w:ind w:left="2160" w:hanging="180"/>
      </w:pPr>
    </w:lvl>
    <w:lvl w:ilvl="3" w:tplc="88800E42" w:tentative="1">
      <w:start w:val="1"/>
      <w:numFmt w:val="decimal"/>
      <w:lvlText w:val="%4."/>
      <w:lvlJc w:val="left"/>
      <w:pPr>
        <w:ind w:left="2880" w:hanging="360"/>
      </w:pPr>
    </w:lvl>
    <w:lvl w:ilvl="4" w:tplc="4462C150" w:tentative="1">
      <w:start w:val="1"/>
      <w:numFmt w:val="lowerLetter"/>
      <w:lvlText w:val="%5."/>
      <w:lvlJc w:val="left"/>
      <w:pPr>
        <w:ind w:left="3600" w:hanging="360"/>
      </w:pPr>
    </w:lvl>
    <w:lvl w:ilvl="5" w:tplc="CBAADB48" w:tentative="1">
      <w:start w:val="1"/>
      <w:numFmt w:val="lowerRoman"/>
      <w:lvlText w:val="%6."/>
      <w:lvlJc w:val="right"/>
      <w:pPr>
        <w:ind w:left="4320" w:hanging="180"/>
      </w:pPr>
    </w:lvl>
    <w:lvl w:ilvl="6" w:tplc="E6B2DCC4" w:tentative="1">
      <w:start w:val="1"/>
      <w:numFmt w:val="decimal"/>
      <w:lvlText w:val="%7."/>
      <w:lvlJc w:val="left"/>
      <w:pPr>
        <w:ind w:left="5040" w:hanging="360"/>
      </w:pPr>
    </w:lvl>
    <w:lvl w:ilvl="7" w:tplc="D53AAD20" w:tentative="1">
      <w:start w:val="1"/>
      <w:numFmt w:val="lowerLetter"/>
      <w:lvlText w:val="%8."/>
      <w:lvlJc w:val="left"/>
      <w:pPr>
        <w:ind w:left="5760" w:hanging="360"/>
      </w:pPr>
    </w:lvl>
    <w:lvl w:ilvl="8" w:tplc="23A4A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8C7"/>
    <w:multiLevelType w:val="hybridMultilevel"/>
    <w:tmpl w:val="FDC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164DD"/>
    <w:multiLevelType w:val="hybridMultilevel"/>
    <w:tmpl w:val="5A2EFC0E"/>
    <w:lvl w:ilvl="0" w:tplc="59B28824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84178">
    <w:abstractNumId w:val="3"/>
  </w:num>
  <w:num w:numId="2" w16cid:durableId="2040623627">
    <w:abstractNumId w:val="1"/>
  </w:num>
  <w:num w:numId="3" w16cid:durableId="2021002230">
    <w:abstractNumId w:val="2"/>
  </w:num>
  <w:num w:numId="4" w16cid:durableId="176915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36"/>
    <w:rsid w:val="00004B47"/>
    <w:rsid w:val="00086247"/>
    <w:rsid w:val="000935CA"/>
    <w:rsid w:val="00097801"/>
    <w:rsid w:val="000A3BC2"/>
    <w:rsid w:val="000A62E8"/>
    <w:rsid w:val="000A6565"/>
    <w:rsid w:val="000C5B79"/>
    <w:rsid w:val="000F7DB3"/>
    <w:rsid w:val="001C47A3"/>
    <w:rsid w:val="00205B21"/>
    <w:rsid w:val="0022430C"/>
    <w:rsid w:val="0024192B"/>
    <w:rsid w:val="0028772F"/>
    <w:rsid w:val="0029452A"/>
    <w:rsid w:val="002A58B5"/>
    <w:rsid w:val="002B422B"/>
    <w:rsid w:val="002B702F"/>
    <w:rsid w:val="002E682C"/>
    <w:rsid w:val="00306183"/>
    <w:rsid w:val="00391594"/>
    <w:rsid w:val="003A4286"/>
    <w:rsid w:val="003C5A95"/>
    <w:rsid w:val="003E6EE5"/>
    <w:rsid w:val="003E775E"/>
    <w:rsid w:val="00410555"/>
    <w:rsid w:val="0043283D"/>
    <w:rsid w:val="004600A5"/>
    <w:rsid w:val="004B7133"/>
    <w:rsid w:val="004C695A"/>
    <w:rsid w:val="004D7197"/>
    <w:rsid w:val="004E0C0F"/>
    <w:rsid w:val="00507836"/>
    <w:rsid w:val="0051434F"/>
    <w:rsid w:val="0051572C"/>
    <w:rsid w:val="0054160D"/>
    <w:rsid w:val="00565D45"/>
    <w:rsid w:val="00596517"/>
    <w:rsid w:val="005A1CE3"/>
    <w:rsid w:val="005A3AD9"/>
    <w:rsid w:val="005B274A"/>
    <w:rsid w:val="005F7F53"/>
    <w:rsid w:val="006321FF"/>
    <w:rsid w:val="006421B7"/>
    <w:rsid w:val="00667E31"/>
    <w:rsid w:val="00687EA4"/>
    <w:rsid w:val="006A50E3"/>
    <w:rsid w:val="006E25B9"/>
    <w:rsid w:val="006F0706"/>
    <w:rsid w:val="00721695"/>
    <w:rsid w:val="00770AAC"/>
    <w:rsid w:val="0078525D"/>
    <w:rsid w:val="007B1025"/>
    <w:rsid w:val="007B747A"/>
    <w:rsid w:val="007C5380"/>
    <w:rsid w:val="007D287B"/>
    <w:rsid w:val="007F77F0"/>
    <w:rsid w:val="0081620A"/>
    <w:rsid w:val="008214AF"/>
    <w:rsid w:val="008539B4"/>
    <w:rsid w:val="00892291"/>
    <w:rsid w:val="008A257B"/>
    <w:rsid w:val="008B0AAF"/>
    <w:rsid w:val="008C726A"/>
    <w:rsid w:val="008D59A6"/>
    <w:rsid w:val="008D6912"/>
    <w:rsid w:val="008F0B4D"/>
    <w:rsid w:val="00907F86"/>
    <w:rsid w:val="00917DED"/>
    <w:rsid w:val="00917E24"/>
    <w:rsid w:val="00921BF2"/>
    <w:rsid w:val="00953AF6"/>
    <w:rsid w:val="009547C1"/>
    <w:rsid w:val="00985DE1"/>
    <w:rsid w:val="009E0104"/>
    <w:rsid w:val="009E5A05"/>
    <w:rsid w:val="00A07328"/>
    <w:rsid w:val="00A22F41"/>
    <w:rsid w:val="00A269E0"/>
    <w:rsid w:val="00A56188"/>
    <w:rsid w:val="00A62C6F"/>
    <w:rsid w:val="00A71B6B"/>
    <w:rsid w:val="00A93D5F"/>
    <w:rsid w:val="00AA6418"/>
    <w:rsid w:val="00AC3B2D"/>
    <w:rsid w:val="00AF5738"/>
    <w:rsid w:val="00B0685A"/>
    <w:rsid w:val="00B55725"/>
    <w:rsid w:val="00B92537"/>
    <w:rsid w:val="00BF0CE8"/>
    <w:rsid w:val="00BF3829"/>
    <w:rsid w:val="00BF64DF"/>
    <w:rsid w:val="00C07069"/>
    <w:rsid w:val="00C4789D"/>
    <w:rsid w:val="00C52F68"/>
    <w:rsid w:val="00C81CBC"/>
    <w:rsid w:val="00CE0D17"/>
    <w:rsid w:val="00D16E87"/>
    <w:rsid w:val="00DC3BFD"/>
    <w:rsid w:val="00DD4E19"/>
    <w:rsid w:val="00DD53F0"/>
    <w:rsid w:val="00DE208A"/>
    <w:rsid w:val="00E34A4D"/>
    <w:rsid w:val="00E96F06"/>
    <w:rsid w:val="00EA52BC"/>
    <w:rsid w:val="00ED1996"/>
    <w:rsid w:val="00EE6C4F"/>
    <w:rsid w:val="00F12047"/>
    <w:rsid w:val="00F13484"/>
    <w:rsid w:val="00F36F5D"/>
    <w:rsid w:val="00F51AEC"/>
    <w:rsid w:val="00F62D7B"/>
    <w:rsid w:val="00F74EC2"/>
    <w:rsid w:val="00FA26E9"/>
    <w:rsid w:val="00FC6885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6BD4"/>
  <w15:docId w15:val="{8B417676-EFAA-48F7-BD8C-4003EC77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34F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86"/>
  </w:style>
  <w:style w:type="paragraph" w:styleId="Footer">
    <w:name w:val="footer"/>
    <w:basedOn w:val="Normal"/>
    <w:link w:val="FooterChar"/>
    <w:uiPriority w:val="99"/>
    <w:unhideWhenUsed/>
    <w:rsid w:val="0090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86"/>
  </w:style>
  <w:style w:type="character" w:styleId="CommentReference">
    <w:name w:val="annotation reference"/>
    <w:basedOn w:val="DefaultParagraphFont"/>
    <w:uiPriority w:val="99"/>
    <w:semiHidden/>
    <w:unhideWhenUsed/>
    <w:rsid w:val="000A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stephanie@iaccsim2k.onmicrosoft.com</cp:lastModifiedBy>
  <cp:revision>4</cp:revision>
  <cp:lastPrinted>1900-01-01T05:00:00Z</cp:lastPrinted>
  <dcterms:created xsi:type="dcterms:W3CDTF">2023-02-10T20:51:00Z</dcterms:created>
  <dcterms:modified xsi:type="dcterms:W3CDTF">2023-02-13T18:03:00Z</dcterms:modified>
</cp:coreProperties>
</file>